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9EA" w:rsidRDefault="004229EA"/>
    <w:p w:rsidR="009C32D1" w:rsidRPr="00A23AD6" w:rsidRDefault="009C32D1" w:rsidP="009C32D1">
      <w:pPr>
        <w:pStyle w:val="Heading1"/>
        <w:rPr>
          <w:lang w:val="en-US"/>
        </w:rPr>
      </w:pPr>
      <w:r w:rsidRPr="00A23AD6">
        <w:rPr>
          <w:lang w:val="en-US"/>
        </w:rPr>
        <w:t>Material and methods</w:t>
      </w:r>
      <w:r w:rsidR="00AE7B46" w:rsidRPr="00A23AD6">
        <w:rPr>
          <w:lang w:val="en-US"/>
        </w:rPr>
        <w:t xml:space="preserve"> supplementary data</w:t>
      </w:r>
    </w:p>
    <w:p w:rsidR="009C32D1" w:rsidRPr="00A23AD6" w:rsidRDefault="009C32D1">
      <w:pPr>
        <w:rPr>
          <w:lang w:val="en-US"/>
        </w:rPr>
      </w:pPr>
    </w:p>
    <w:p w:rsidR="009C32D1" w:rsidRPr="006A44C2" w:rsidRDefault="009C32D1" w:rsidP="009C32D1">
      <w:pPr>
        <w:pStyle w:val="Heading3"/>
        <w:rPr>
          <w:lang w:val="en-US"/>
        </w:rPr>
      </w:pPr>
      <w:r w:rsidRPr="00756048">
        <w:rPr>
          <w:lang w:val="en-US"/>
        </w:rPr>
        <w:t>Gene expression</w:t>
      </w:r>
    </w:p>
    <w:p w:rsidR="009C32D1" w:rsidRPr="006A44C2" w:rsidRDefault="009C32D1" w:rsidP="009C32D1">
      <w:pPr>
        <w:rPr>
          <w:lang w:val="en-US"/>
        </w:rPr>
      </w:pPr>
      <w:r w:rsidRPr="00756048">
        <w:rPr>
          <w:rFonts w:cs="Times New Roman"/>
          <w:lang w:val="en-US"/>
        </w:rPr>
        <w:t xml:space="preserve">Gene expression was performed on 186 </w:t>
      </w:r>
      <w:proofErr w:type="spellStart"/>
      <w:r w:rsidRPr="00756048">
        <w:rPr>
          <w:rFonts w:cs="Times New Roman"/>
          <w:lang w:val="en-US"/>
        </w:rPr>
        <w:t>adenocarcinomas</w:t>
      </w:r>
      <w:proofErr w:type="spellEnd"/>
      <w:r>
        <w:rPr>
          <w:rFonts w:cs="Times New Roman"/>
          <w:lang w:val="en-US"/>
        </w:rPr>
        <w:t xml:space="preserve"> (including</w:t>
      </w:r>
      <w:r w:rsidRPr="00756048">
        <w:rPr>
          <w:rFonts w:cs="Times New Roman"/>
          <w:lang w:val="en-US"/>
        </w:rPr>
        <w:t xml:space="preserve"> 79 of those with protein expression) from the same cohort, using hybridization arrays (</w:t>
      </w:r>
      <w:proofErr w:type="spellStart"/>
      <w:r w:rsidRPr="00756048">
        <w:rPr>
          <w:rFonts w:cs="Times New Roman"/>
          <w:lang w:val="en-US"/>
        </w:rPr>
        <w:t>SurePrint</w:t>
      </w:r>
      <w:proofErr w:type="spellEnd"/>
      <w:r w:rsidRPr="00756048">
        <w:rPr>
          <w:rFonts w:cs="Times New Roman"/>
          <w:lang w:val="en-US"/>
        </w:rPr>
        <w:t xml:space="preserve"> G3 Human, 8x60K, Agilent Technologies). First tot</w:t>
      </w:r>
      <w:r>
        <w:rPr>
          <w:rFonts w:cs="Times New Roman"/>
          <w:lang w:val="en-US"/>
        </w:rPr>
        <w:t xml:space="preserve">al </w:t>
      </w:r>
      <w:r w:rsidRPr="00756048">
        <w:rPr>
          <w:rFonts w:cs="Times New Roman"/>
          <w:lang w:val="en-US"/>
        </w:rPr>
        <w:t>RNA</w:t>
      </w:r>
      <w:r>
        <w:rPr>
          <w:rFonts w:cs="Times New Roman"/>
          <w:lang w:val="en-US"/>
        </w:rPr>
        <w:t xml:space="preserve"> (</w:t>
      </w:r>
      <w:proofErr w:type="spellStart"/>
      <w:r>
        <w:rPr>
          <w:rFonts w:cs="Times New Roman"/>
          <w:lang w:val="en-US"/>
        </w:rPr>
        <w:t>totRNA</w:t>
      </w:r>
      <w:proofErr w:type="spellEnd"/>
      <w:r>
        <w:rPr>
          <w:rFonts w:cs="Times New Roman"/>
          <w:lang w:val="en-US"/>
        </w:rPr>
        <w:t>)</w:t>
      </w:r>
      <w:r w:rsidRPr="00756048">
        <w:rPr>
          <w:rFonts w:cs="Times New Roman"/>
          <w:lang w:val="en-US"/>
        </w:rPr>
        <w:t xml:space="preserve"> was extracted from the tumor samples with standard </w:t>
      </w:r>
      <w:proofErr w:type="spellStart"/>
      <w:r w:rsidRPr="00756048">
        <w:rPr>
          <w:rFonts w:cs="Times New Roman"/>
          <w:lang w:val="en-US"/>
        </w:rPr>
        <w:t>Trizol</w:t>
      </w:r>
      <w:proofErr w:type="spellEnd"/>
      <w:r w:rsidRPr="00756048">
        <w:rPr>
          <w:rFonts w:cs="Times New Roman"/>
          <w:lang w:val="en-US"/>
        </w:rPr>
        <w:t xml:space="preserve"> protocol (</w:t>
      </w:r>
      <w:proofErr w:type="spellStart"/>
      <w:r w:rsidRPr="00756048">
        <w:rPr>
          <w:rFonts w:cs="Times New Roman"/>
          <w:lang w:val="en-US"/>
        </w:rPr>
        <w:t>Invitrogen</w:t>
      </w:r>
      <w:proofErr w:type="spellEnd"/>
      <w:r w:rsidRPr="00756048">
        <w:rPr>
          <w:rFonts w:cs="Times New Roman"/>
          <w:lang w:val="en-US"/>
        </w:rPr>
        <w:t xml:space="preserve">, Carlsbad, CA). The yield and quality of the RNA was determined with </w:t>
      </w:r>
      <w:proofErr w:type="spellStart"/>
      <w:r w:rsidRPr="00756048">
        <w:rPr>
          <w:rFonts w:cs="Times New Roman"/>
          <w:lang w:val="en-US"/>
        </w:rPr>
        <w:t>Nanodrop</w:t>
      </w:r>
      <w:proofErr w:type="spellEnd"/>
      <w:r w:rsidRPr="00756048">
        <w:rPr>
          <w:rFonts w:cs="Times New Roman"/>
          <w:lang w:val="en-US"/>
        </w:rPr>
        <w:t xml:space="preserve"> ND-1000 spectrophotometer (</w:t>
      </w:r>
      <w:proofErr w:type="spellStart"/>
      <w:r w:rsidRPr="00756048">
        <w:rPr>
          <w:rFonts w:cs="Times New Roman"/>
          <w:lang w:val="en-US"/>
        </w:rPr>
        <w:t>NanoDrop</w:t>
      </w:r>
      <w:proofErr w:type="spellEnd"/>
      <w:r w:rsidRPr="00756048">
        <w:rPr>
          <w:rFonts w:cs="Times New Roman"/>
          <w:lang w:val="en-US"/>
        </w:rPr>
        <w:t xml:space="preserve"> technologies). The RNA </w:t>
      </w:r>
      <w:proofErr w:type="spellStart"/>
      <w:r w:rsidRPr="00756048">
        <w:rPr>
          <w:rFonts w:cs="Times New Roman"/>
          <w:lang w:val="en-US"/>
        </w:rPr>
        <w:t>integrin</w:t>
      </w:r>
      <w:proofErr w:type="spellEnd"/>
      <w:r w:rsidRPr="00756048">
        <w:rPr>
          <w:rFonts w:cs="Times New Roman"/>
          <w:lang w:val="en-US"/>
        </w:rPr>
        <w:t xml:space="preserve"> numbers (RIN) was assessed by 2100 </w:t>
      </w:r>
      <w:proofErr w:type="spellStart"/>
      <w:r w:rsidRPr="00756048">
        <w:rPr>
          <w:rFonts w:cs="Times New Roman"/>
          <w:lang w:val="en-US"/>
        </w:rPr>
        <w:t>Bioanalyzer</w:t>
      </w:r>
      <w:proofErr w:type="spellEnd"/>
      <w:r w:rsidRPr="00756048">
        <w:rPr>
          <w:rFonts w:cs="Times New Roman"/>
          <w:lang w:val="en-US"/>
        </w:rPr>
        <w:t xml:space="preserve"> (Agilent Technologies). First 50ng </w:t>
      </w:r>
      <w:proofErr w:type="spellStart"/>
      <w:r w:rsidRPr="00756048">
        <w:rPr>
          <w:rFonts w:cs="Times New Roman"/>
          <w:lang w:val="en-US"/>
        </w:rPr>
        <w:t>totRNA</w:t>
      </w:r>
      <w:proofErr w:type="spellEnd"/>
      <w:r w:rsidRPr="00756048">
        <w:rPr>
          <w:rFonts w:cs="Times New Roman"/>
          <w:lang w:val="en-US"/>
        </w:rPr>
        <w:t xml:space="preserve"> was reverse transcribed, amplified and labeled with cyanine 3-CTP. T</w:t>
      </w:r>
      <w:r w:rsidRPr="00756048">
        <w:rPr>
          <w:lang w:val="en-US"/>
        </w:rPr>
        <w:t xml:space="preserve">he labeled </w:t>
      </w:r>
      <w:proofErr w:type="spellStart"/>
      <w:r w:rsidRPr="00756048">
        <w:rPr>
          <w:lang w:val="en-US"/>
        </w:rPr>
        <w:t>cRNA</w:t>
      </w:r>
      <w:proofErr w:type="spellEnd"/>
      <w:r w:rsidRPr="00756048">
        <w:rPr>
          <w:lang w:val="en-US"/>
        </w:rPr>
        <w:t xml:space="preserve"> were hybridized to slides and incubated for 17 hours at 65°C. Arrays were scanned by using Agilent Microarray Scanner (Agilent technologies) and the raw data were preprocessed with the Agilent`s Feature Extraction Software with default parameters (Agilent feature extraction version 10.7.3.1). T</w:t>
      </w:r>
      <w:r>
        <w:rPr>
          <w:lang w:val="en-US"/>
        </w:rPr>
        <w:t>he gene expression data was log</w:t>
      </w:r>
      <w:r w:rsidRPr="00756048">
        <w:rPr>
          <w:lang w:val="en-US"/>
        </w:rPr>
        <w:t xml:space="preserve">2 transformed and </w:t>
      </w:r>
      <w:proofErr w:type="spellStart"/>
      <w:r>
        <w:rPr>
          <w:lang w:val="en-US"/>
        </w:rPr>
        <w:t>quantile</w:t>
      </w:r>
      <w:proofErr w:type="spellEnd"/>
      <w:r>
        <w:rPr>
          <w:lang w:val="en-US"/>
        </w:rPr>
        <w:t xml:space="preserve"> </w:t>
      </w:r>
      <w:r w:rsidRPr="00756048">
        <w:rPr>
          <w:lang w:val="en-US"/>
        </w:rPr>
        <w:t xml:space="preserve">normalized in </w:t>
      </w:r>
      <w:proofErr w:type="spellStart"/>
      <w:r w:rsidRPr="00756048">
        <w:rPr>
          <w:lang w:val="en-US"/>
        </w:rPr>
        <w:t>Genespring</w:t>
      </w:r>
      <w:proofErr w:type="spellEnd"/>
      <w:r w:rsidRPr="00756048">
        <w:rPr>
          <w:lang w:val="en-US"/>
        </w:rPr>
        <w:t xml:space="preserve"> GX analysis Software v.12.1 (Agilent Technology).</w:t>
      </w:r>
    </w:p>
    <w:p w:rsidR="009C32D1" w:rsidRPr="006A44C2" w:rsidRDefault="009C32D1" w:rsidP="009C32D1">
      <w:pPr>
        <w:pStyle w:val="Heading3"/>
        <w:rPr>
          <w:lang w:val="en-US"/>
        </w:rPr>
      </w:pPr>
      <w:r>
        <w:rPr>
          <w:lang w:val="en-US"/>
        </w:rPr>
        <w:t>EGFR, TP53 and KRAS analyse</w:t>
      </w:r>
      <w:r w:rsidRPr="00756048">
        <w:rPr>
          <w:lang w:val="en-US"/>
        </w:rPr>
        <w:t>s</w:t>
      </w:r>
    </w:p>
    <w:p w:rsidR="009C32D1" w:rsidRPr="006A44C2" w:rsidRDefault="009C32D1" w:rsidP="009C32D1">
      <w:pPr>
        <w:rPr>
          <w:color w:val="000000"/>
          <w:shd w:val="clear" w:color="auto" w:fill="FFFFFF"/>
          <w:lang w:val="en-US"/>
        </w:rPr>
      </w:pPr>
      <w:r w:rsidRPr="00756048">
        <w:rPr>
          <w:color w:val="000000"/>
          <w:shd w:val="clear" w:color="auto" w:fill="FFFFFF"/>
          <w:lang w:val="en-US"/>
        </w:rPr>
        <w:t>Mutation analyses of </w:t>
      </w:r>
      <w:r w:rsidRPr="00756048">
        <w:rPr>
          <w:rStyle w:val="Emphasis"/>
          <w:color w:val="000000"/>
          <w:shd w:val="clear" w:color="auto" w:fill="FFFFFF"/>
          <w:lang w:val="en-US"/>
        </w:rPr>
        <w:t>EGFR</w:t>
      </w:r>
      <w:r w:rsidRPr="00756048">
        <w:rPr>
          <w:color w:val="000000"/>
          <w:shd w:val="clear" w:color="auto" w:fill="FFFFFF"/>
          <w:lang w:val="en-US"/>
        </w:rPr>
        <w:t> </w:t>
      </w:r>
      <w:proofErr w:type="spellStart"/>
      <w:r w:rsidRPr="00756048">
        <w:rPr>
          <w:color w:val="000000"/>
          <w:shd w:val="clear" w:color="auto" w:fill="FFFFFF"/>
          <w:lang w:val="en-US"/>
        </w:rPr>
        <w:t>exons</w:t>
      </w:r>
      <w:proofErr w:type="spellEnd"/>
      <w:r w:rsidRPr="00756048">
        <w:rPr>
          <w:color w:val="000000"/>
          <w:shd w:val="clear" w:color="auto" w:fill="FFFFFF"/>
          <w:lang w:val="en-US"/>
        </w:rPr>
        <w:t xml:space="preserve"> 18–21 were performed using the </w:t>
      </w:r>
      <w:proofErr w:type="spellStart"/>
      <w:r w:rsidRPr="00756048">
        <w:rPr>
          <w:color w:val="000000"/>
          <w:shd w:val="clear" w:color="auto" w:fill="FFFFFF"/>
          <w:lang w:val="en-US"/>
        </w:rPr>
        <w:t>TheraScreen</w:t>
      </w:r>
      <w:proofErr w:type="spellEnd"/>
      <w:r w:rsidRPr="00756048">
        <w:rPr>
          <w:color w:val="000000"/>
          <w:shd w:val="clear" w:color="auto" w:fill="FFFFFF"/>
          <w:lang w:val="en-US"/>
        </w:rPr>
        <w:t xml:space="preserve"> EGFR mutation kit (</w:t>
      </w:r>
      <w:proofErr w:type="spellStart"/>
      <w:r w:rsidRPr="00756048">
        <w:rPr>
          <w:color w:val="000000"/>
          <w:shd w:val="clear" w:color="auto" w:fill="FFFFFF"/>
          <w:lang w:val="en-US"/>
        </w:rPr>
        <w:t>DxS</w:t>
      </w:r>
      <w:proofErr w:type="spellEnd"/>
      <w:r w:rsidRPr="00756048">
        <w:rPr>
          <w:color w:val="000000"/>
          <w:shd w:val="clear" w:color="auto" w:fill="FFFFFF"/>
          <w:lang w:val="en-US"/>
        </w:rPr>
        <w:t>, Manchester, UK,) designed to detect 28 specific mutations in the </w:t>
      </w:r>
      <w:r w:rsidRPr="00756048">
        <w:rPr>
          <w:rStyle w:val="Emphasis"/>
          <w:color w:val="000000"/>
          <w:shd w:val="clear" w:color="auto" w:fill="FFFFFF"/>
          <w:lang w:val="en-US"/>
        </w:rPr>
        <w:t>EGFR</w:t>
      </w:r>
      <w:r w:rsidRPr="00756048">
        <w:rPr>
          <w:color w:val="000000"/>
          <w:shd w:val="clear" w:color="auto" w:fill="FFFFFF"/>
          <w:lang w:val="en-US"/>
        </w:rPr>
        <w:t xml:space="preserve"> gene. Assays were carried out according to the manufacturer’s protocol and with the use of the Roche </w:t>
      </w:r>
      <w:proofErr w:type="spellStart"/>
      <w:r w:rsidRPr="00756048">
        <w:rPr>
          <w:color w:val="000000"/>
          <w:shd w:val="clear" w:color="auto" w:fill="FFFFFF"/>
          <w:lang w:val="en-US"/>
        </w:rPr>
        <w:t>LightCycler</w:t>
      </w:r>
      <w:proofErr w:type="spellEnd"/>
      <w:r w:rsidRPr="00756048">
        <w:rPr>
          <w:color w:val="000000"/>
          <w:shd w:val="clear" w:color="auto" w:fill="FFFFFF"/>
          <w:lang w:val="en-US"/>
        </w:rPr>
        <w:t xml:space="preserve"> 480 real-time PCR system. Some of the results were previously published by Helland </w:t>
      </w:r>
      <w:r w:rsidRPr="00756048">
        <w:rPr>
          <w:rStyle w:val="Emphasis"/>
          <w:color w:val="000000"/>
          <w:shd w:val="clear" w:color="auto" w:fill="FFFFFF"/>
          <w:lang w:val="en-US"/>
        </w:rPr>
        <w:t>et al</w:t>
      </w:r>
      <w:r w:rsidRPr="00756048">
        <w:rPr>
          <w:color w:val="000000"/>
          <w:shd w:val="clear" w:color="auto" w:fill="FFFFFF"/>
          <w:lang w:val="en-US"/>
        </w:rPr>
        <w:t>.</w:t>
      </w:r>
      <w:r w:rsidRPr="006A44C2">
        <w:rPr>
          <w:color w:val="000000"/>
          <w:shd w:val="clear" w:color="auto" w:fill="FFFFFF"/>
          <w:lang w:val="en-US"/>
        </w:rPr>
        <w:t xml:space="preserve"> </w:t>
      </w:r>
    </w:p>
    <w:p w:rsidR="009C32D1" w:rsidRPr="006A44C2" w:rsidRDefault="009C32D1" w:rsidP="009C32D1">
      <w:pPr>
        <w:rPr>
          <w:color w:val="000000"/>
          <w:shd w:val="clear" w:color="auto" w:fill="FFFFFF"/>
          <w:lang w:val="en-US"/>
        </w:rPr>
      </w:pPr>
      <w:r w:rsidRPr="00756048">
        <w:rPr>
          <w:color w:val="000000"/>
          <w:shd w:val="clear" w:color="auto" w:fill="FFFFFF"/>
          <w:lang w:val="en-US"/>
        </w:rPr>
        <w:t>The </w:t>
      </w:r>
      <w:r w:rsidRPr="00756048">
        <w:rPr>
          <w:rStyle w:val="Emphasis"/>
          <w:color w:val="000000"/>
          <w:shd w:val="clear" w:color="auto" w:fill="FFFFFF"/>
          <w:lang w:val="en-US"/>
        </w:rPr>
        <w:t>TP53</w:t>
      </w:r>
      <w:r w:rsidRPr="00756048">
        <w:rPr>
          <w:color w:val="000000"/>
          <w:shd w:val="clear" w:color="auto" w:fill="FFFFFF"/>
          <w:lang w:val="en-US"/>
        </w:rPr>
        <w:t xml:space="preserve"> gene was analyzed by the Sanger Sequencing method in all the tumor samples. The procedure was performed on an Applied </w:t>
      </w:r>
      <w:proofErr w:type="spellStart"/>
      <w:r w:rsidRPr="00756048">
        <w:rPr>
          <w:color w:val="000000"/>
          <w:shd w:val="clear" w:color="auto" w:fill="FFFFFF"/>
          <w:lang w:val="en-US"/>
        </w:rPr>
        <w:t>Biosystems</w:t>
      </w:r>
      <w:proofErr w:type="spellEnd"/>
      <w:r w:rsidRPr="00756048">
        <w:rPr>
          <w:color w:val="000000"/>
          <w:shd w:val="clear" w:color="auto" w:fill="FFFFFF"/>
          <w:lang w:val="en-US"/>
        </w:rPr>
        <w:t xml:space="preserve"> 3730 DNA </w:t>
      </w:r>
      <w:proofErr w:type="spellStart"/>
      <w:r w:rsidRPr="00756048">
        <w:rPr>
          <w:color w:val="000000"/>
          <w:shd w:val="clear" w:color="auto" w:fill="FFFFFF"/>
          <w:lang w:val="en-US"/>
        </w:rPr>
        <w:t>analyser</w:t>
      </w:r>
      <w:proofErr w:type="spellEnd"/>
      <w:r w:rsidRPr="00756048">
        <w:rPr>
          <w:color w:val="000000"/>
          <w:shd w:val="clear" w:color="auto" w:fill="FFFFFF"/>
          <w:lang w:val="en-US"/>
        </w:rPr>
        <w:t xml:space="preserve"> according to the supplier’s handbook, Applied </w:t>
      </w:r>
      <w:proofErr w:type="spellStart"/>
      <w:r w:rsidRPr="00756048">
        <w:rPr>
          <w:color w:val="000000"/>
          <w:shd w:val="clear" w:color="auto" w:fill="FFFFFF"/>
          <w:lang w:val="en-US"/>
        </w:rPr>
        <w:t>Biosystem</w:t>
      </w:r>
      <w:proofErr w:type="spellEnd"/>
      <w:r w:rsidRPr="00756048">
        <w:rPr>
          <w:color w:val="000000"/>
          <w:shd w:val="clear" w:color="auto" w:fill="FFFFFF"/>
          <w:lang w:val="en-US"/>
        </w:rPr>
        <w:t xml:space="preserve"> 3730/3730X/DNA </w:t>
      </w:r>
      <w:proofErr w:type="spellStart"/>
      <w:r w:rsidRPr="00756048">
        <w:rPr>
          <w:color w:val="000000"/>
          <w:shd w:val="clear" w:color="auto" w:fill="FFFFFF"/>
          <w:lang w:val="en-US"/>
        </w:rPr>
        <w:t>Analysers</w:t>
      </w:r>
      <w:proofErr w:type="spellEnd"/>
      <w:r w:rsidRPr="00756048">
        <w:rPr>
          <w:color w:val="000000"/>
          <w:shd w:val="clear" w:color="auto" w:fill="FFFFFF"/>
          <w:lang w:val="en-US"/>
        </w:rPr>
        <w:t xml:space="preserve"> Part 4331467 </w:t>
      </w:r>
      <w:proofErr w:type="spellStart"/>
      <w:r w:rsidRPr="00756048">
        <w:rPr>
          <w:color w:val="000000"/>
          <w:shd w:val="clear" w:color="auto" w:fill="FFFFFF"/>
          <w:lang w:val="en-US"/>
        </w:rPr>
        <w:t>Rev.B</w:t>
      </w:r>
      <w:proofErr w:type="spellEnd"/>
      <w:proofErr w:type="gramStart"/>
      <w:r w:rsidRPr="00756048">
        <w:rPr>
          <w:color w:val="000000"/>
          <w:shd w:val="clear" w:color="auto" w:fill="FFFFFF"/>
          <w:lang w:val="en-US"/>
        </w:rPr>
        <w:t>,  as</w:t>
      </w:r>
      <w:proofErr w:type="gramEnd"/>
      <w:r w:rsidRPr="00756048">
        <w:rPr>
          <w:color w:val="000000"/>
          <w:shd w:val="clear" w:color="auto" w:fill="FFFFFF"/>
          <w:lang w:val="en-US"/>
        </w:rPr>
        <w:t xml:space="preserve"> previously described</w:t>
      </w:r>
      <w:r>
        <w:rPr>
          <w:color w:val="000000"/>
          <w:shd w:val="clear" w:color="auto" w:fill="FFFFFF"/>
          <w:lang w:val="en-US"/>
        </w:rPr>
        <w:t>.</w:t>
      </w:r>
      <w:r w:rsidRPr="00756048">
        <w:rPr>
          <w:color w:val="000000"/>
          <w:shd w:val="clear" w:color="auto" w:fill="FFFFFF"/>
          <w:lang w:val="en-US"/>
        </w:rPr>
        <w:t xml:space="preserve"> All </w:t>
      </w:r>
      <w:proofErr w:type="spellStart"/>
      <w:r w:rsidRPr="00756048">
        <w:rPr>
          <w:color w:val="000000"/>
          <w:shd w:val="clear" w:color="auto" w:fill="FFFFFF"/>
          <w:lang w:val="en-US"/>
        </w:rPr>
        <w:t>exons</w:t>
      </w:r>
      <w:proofErr w:type="spellEnd"/>
      <w:r w:rsidRPr="00756048">
        <w:rPr>
          <w:color w:val="000000"/>
          <w:shd w:val="clear" w:color="auto" w:fill="FFFFFF"/>
          <w:lang w:val="en-US"/>
        </w:rPr>
        <w:t xml:space="preserve"> from 2 to 11, including the 16 flanking base pairs of each </w:t>
      </w:r>
      <w:proofErr w:type="spellStart"/>
      <w:r w:rsidRPr="00756048">
        <w:rPr>
          <w:color w:val="000000"/>
          <w:shd w:val="clear" w:color="auto" w:fill="FFFFFF"/>
          <w:lang w:val="en-US"/>
        </w:rPr>
        <w:t>exon</w:t>
      </w:r>
      <w:proofErr w:type="spellEnd"/>
      <w:r w:rsidRPr="00756048">
        <w:rPr>
          <w:color w:val="000000"/>
          <w:shd w:val="clear" w:color="auto" w:fill="FFFFFF"/>
          <w:lang w:val="en-US"/>
        </w:rPr>
        <w:t xml:space="preserve">, were investigated. The sequences were aligned and analyzed using </w:t>
      </w:r>
      <w:proofErr w:type="spellStart"/>
      <w:r w:rsidRPr="00756048">
        <w:rPr>
          <w:color w:val="000000"/>
          <w:shd w:val="clear" w:color="auto" w:fill="FFFFFF"/>
          <w:lang w:val="en-US"/>
        </w:rPr>
        <w:t>SeqScape</w:t>
      </w:r>
      <w:proofErr w:type="spellEnd"/>
      <w:r w:rsidRPr="00756048">
        <w:rPr>
          <w:color w:val="000000"/>
          <w:shd w:val="clear" w:color="auto" w:fill="FFFFFF"/>
          <w:lang w:val="en-US"/>
        </w:rPr>
        <w:t xml:space="preserve"> v.2.5 according to the project template [</w:t>
      </w:r>
      <w:r w:rsidRPr="00756048">
        <w:rPr>
          <w:rStyle w:val="Emphasis"/>
          <w:color w:val="000000"/>
          <w:shd w:val="clear" w:color="auto" w:fill="FFFFFF"/>
          <w:lang w:val="en-US"/>
        </w:rPr>
        <w:t>TP53</w:t>
      </w:r>
      <w:r w:rsidRPr="00756048">
        <w:rPr>
          <w:color w:val="000000"/>
          <w:shd w:val="clear" w:color="auto" w:fill="FFFFFF"/>
          <w:lang w:val="en-US"/>
        </w:rPr>
        <w:t> accession nr: </w:t>
      </w:r>
      <w:hyperlink r:id="rId4" w:history="1">
        <w:r w:rsidRPr="00756048">
          <w:rPr>
            <w:rStyle w:val="Hyperlink"/>
            <w:color w:val="642A8F"/>
            <w:shd w:val="clear" w:color="auto" w:fill="FFFFFF"/>
            <w:lang w:val="en-US"/>
          </w:rPr>
          <w:t>NM_000546</w:t>
        </w:r>
      </w:hyperlink>
      <w:hyperlink r:id="rId5" w:anchor="fn04" w:history="1">
        <w:r w:rsidRPr="00756048">
          <w:rPr>
            <w:rStyle w:val="Hyperlink"/>
            <w:color w:val="642A8F"/>
            <w:sz w:val="17"/>
            <w:szCs w:val="17"/>
            <w:shd w:val="clear" w:color="auto" w:fill="FFFFFF"/>
            <w:vertAlign w:val="superscript"/>
            <w:lang w:val="en-US"/>
          </w:rPr>
          <w:t>4</w:t>
        </w:r>
      </w:hyperlink>
      <w:r w:rsidRPr="00756048">
        <w:rPr>
          <w:color w:val="000000"/>
          <w:shd w:val="clear" w:color="auto" w:fill="FFFFFF"/>
          <w:lang w:val="en-US"/>
        </w:rPr>
        <w:t>(</w:t>
      </w:r>
      <w:r w:rsidRPr="00756048">
        <w:rPr>
          <w:rStyle w:val="Emphasis"/>
          <w:color w:val="000000"/>
          <w:shd w:val="clear" w:color="auto" w:fill="FFFFFF"/>
          <w:lang w:val="en-US"/>
        </w:rPr>
        <w:t>TP53</w:t>
      </w:r>
      <w:r w:rsidRPr="00756048">
        <w:rPr>
          <w:color w:val="000000"/>
          <w:shd w:val="clear" w:color="auto" w:fill="FFFFFF"/>
          <w:lang w:val="en-US"/>
        </w:rPr>
        <w:t xml:space="preserve">ref_NC000017.9_NT010718.15)]. All the sequences were manually and independently evaluated by two persons. Sequences harboring </w:t>
      </w:r>
      <w:proofErr w:type="spellStart"/>
      <w:r w:rsidRPr="00756048">
        <w:rPr>
          <w:color w:val="000000"/>
          <w:shd w:val="clear" w:color="auto" w:fill="FFFFFF"/>
          <w:lang w:val="en-US"/>
        </w:rPr>
        <w:t>missense</w:t>
      </w:r>
      <w:proofErr w:type="spellEnd"/>
      <w:r w:rsidRPr="00756048">
        <w:rPr>
          <w:color w:val="000000"/>
          <w:shd w:val="clear" w:color="auto" w:fill="FFFFFF"/>
          <w:lang w:val="en-US"/>
        </w:rPr>
        <w:t xml:space="preserve"> mutation, non-sense mutation, insertion or deletion in the </w:t>
      </w:r>
      <w:r w:rsidRPr="00756048">
        <w:rPr>
          <w:i/>
          <w:color w:val="000000"/>
          <w:shd w:val="clear" w:color="auto" w:fill="FFFFFF"/>
          <w:lang w:val="en-US"/>
        </w:rPr>
        <w:t>TP53</w:t>
      </w:r>
      <w:r w:rsidRPr="00756048">
        <w:rPr>
          <w:color w:val="000000"/>
          <w:shd w:val="clear" w:color="auto" w:fill="FFFFFF"/>
          <w:lang w:val="en-US"/>
        </w:rPr>
        <w:t xml:space="preserve"> sequence were regarded as mutated.</w:t>
      </w:r>
    </w:p>
    <w:p w:rsidR="009C32D1" w:rsidRPr="006A44C2" w:rsidRDefault="009C32D1" w:rsidP="009C32D1">
      <w:pPr>
        <w:rPr>
          <w:color w:val="000000"/>
          <w:shd w:val="clear" w:color="auto" w:fill="FFFFFF"/>
          <w:lang w:val="en-US"/>
        </w:rPr>
      </w:pPr>
      <w:r w:rsidRPr="00756048">
        <w:rPr>
          <w:color w:val="000000"/>
          <w:shd w:val="clear" w:color="auto" w:fill="FFFFFF"/>
          <w:lang w:val="en-US"/>
        </w:rPr>
        <w:t>We used the wobble-enhanced ARMS (WE-ARMS) method</w:t>
      </w:r>
      <w:r w:rsidRPr="00756048">
        <w:rPr>
          <w:color w:val="000000"/>
          <w:sz w:val="20"/>
          <w:szCs w:val="20"/>
          <w:shd w:val="clear" w:color="auto" w:fill="FFFFFF"/>
          <w:vertAlign w:val="superscript"/>
          <w:lang w:val="en-US"/>
        </w:rPr>
        <w:t xml:space="preserve"> </w:t>
      </w:r>
      <w:r w:rsidRPr="00756048">
        <w:rPr>
          <w:color w:val="000000"/>
          <w:shd w:val="clear" w:color="auto" w:fill="FFFFFF"/>
          <w:lang w:val="en-US"/>
        </w:rPr>
        <w:t>for detecting </w:t>
      </w:r>
      <w:r w:rsidRPr="00756048">
        <w:rPr>
          <w:rStyle w:val="Emphasis"/>
          <w:color w:val="000000"/>
          <w:shd w:val="clear" w:color="auto" w:fill="FFFFFF"/>
          <w:lang w:val="en-US"/>
        </w:rPr>
        <w:t>KRAS</w:t>
      </w:r>
      <w:r w:rsidRPr="00756048">
        <w:rPr>
          <w:color w:val="000000"/>
          <w:shd w:val="clear" w:color="auto" w:fill="FFFFFF"/>
          <w:lang w:val="en-US"/>
        </w:rPr>
        <w:t xml:space="preserve"> mutations in </w:t>
      </w:r>
      <w:r>
        <w:rPr>
          <w:color w:val="000000"/>
          <w:shd w:val="clear" w:color="auto" w:fill="FFFFFF"/>
          <w:lang w:val="en-US"/>
        </w:rPr>
        <w:t>the</w:t>
      </w:r>
      <w:r w:rsidRPr="00756048">
        <w:rPr>
          <w:color w:val="000000"/>
          <w:shd w:val="clear" w:color="auto" w:fill="FFFFFF"/>
          <w:lang w:val="en-US"/>
        </w:rPr>
        <w:t xml:space="preserve"> lung </w:t>
      </w:r>
      <w:proofErr w:type="spellStart"/>
      <w:r w:rsidRPr="00756048">
        <w:rPr>
          <w:color w:val="000000"/>
          <w:shd w:val="clear" w:color="auto" w:fill="FFFFFF"/>
          <w:lang w:val="en-US"/>
        </w:rPr>
        <w:t>adenocarcinoma</w:t>
      </w:r>
      <w:proofErr w:type="spellEnd"/>
      <w:r w:rsidRPr="00756048">
        <w:rPr>
          <w:color w:val="000000"/>
          <w:shd w:val="clear" w:color="auto" w:fill="FFFFFF"/>
          <w:lang w:val="en-US"/>
        </w:rPr>
        <w:t xml:space="preserve"> samples. This mutation assay detects the seven most commonly reported mutations in the </w:t>
      </w:r>
      <w:r w:rsidRPr="00756048">
        <w:rPr>
          <w:rStyle w:val="Emphasis"/>
          <w:color w:val="000000"/>
          <w:shd w:val="clear" w:color="auto" w:fill="FFFFFF"/>
          <w:lang w:val="en-US"/>
        </w:rPr>
        <w:t>KRAS</w:t>
      </w:r>
      <w:r w:rsidRPr="00756048">
        <w:rPr>
          <w:color w:val="000000"/>
          <w:shd w:val="clear" w:color="auto" w:fill="FFFFFF"/>
          <w:lang w:val="en-US"/>
        </w:rPr>
        <w:t> gene—KRAS g.34G&gt;C (p.G12R), g.34G&gt;A (p.G12S), g.34G&gt;T (p.G12C), g.35G&gt;A (p.G12D), g.35G&gt;C (p.G12A), g.35G&gt;T (p.G12V) and g.38G&gt;A (p.G13D)—by real-time PCR</w:t>
      </w:r>
      <w:r>
        <w:rPr>
          <w:color w:val="000000"/>
          <w:shd w:val="clear" w:color="auto" w:fill="FFFFFF"/>
          <w:lang w:val="en-US"/>
        </w:rPr>
        <w:t>.</w:t>
      </w:r>
      <w:r w:rsidRPr="006A44C2">
        <w:rPr>
          <w:color w:val="000000"/>
          <w:shd w:val="clear" w:color="auto" w:fill="FFFFFF"/>
          <w:lang w:val="en-US"/>
        </w:rPr>
        <w:t xml:space="preserve"> </w:t>
      </w:r>
    </w:p>
    <w:p w:rsidR="009C32D1" w:rsidRPr="006A44C2" w:rsidRDefault="009C32D1" w:rsidP="009C32D1">
      <w:pPr>
        <w:pStyle w:val="Heading3"/>
        <w:rPr>
          <w:rFonts w:asciiTheme="minorHAnsi" w:hAnsiTheme="minorHAnsi"/>
          <w:lang w:val="en-US"/>
        </w:rPr>
      </w:pPr>
      <w:r w:rsidRPr="00756048">
        <w:rPr>
          <w:rFonts w:asciiTheme="minorHAnsi" w:hAnsiTheme="minorHAnsi"/>
          <w:lang w:val="en-US"/>
        </w:rPr>
        <w:t>Reverse phase protein arrays</w:t>
      </w:r>
    </w:p>
    <w:p w:rsidR="009C32D1" w:rsidRPr="006A44C2" w:rsidRDefault="009C32D1" w:rsidP="009C32D1">
      <w:pPr>
        <w:spacing w:after="0"/>
        <w:ind w:right="720"/>
        <w:rPr>
          <w:rFonts w:cs="Times New Roman"/>
          <w:lang w:val="en-US"/>
        </w:rPr>
      </w:pPr>
      <w:r>
        <w:rPr>
          <w:rFonts w:cs="Times New Roman"/>
          <w:lang w:val="en-US"/>
        </w:rPr>
        <w:t xml:space="preserve">We </w:t>
      </w:r>
      <w:r w:rsidRPr="00756048">
        <w:rPr>
          <w:rFonts w:cs="Times New Roman"/>
          <w:lang w:val="en-US"/>
        </w:rPr>
        <w:t xml:space="preserve"> have performed profiling of 295 cancer relevant proteins of which 60 were in a </w:t>
      </w:r>
      <w:proofErr w:type="spellStart"/>
      <w:r w:rsidRPr="00756048">
        <w:rPr>
          <w:rFonts w:cs="Times New Roman"/>
          <w:lang w:val="en-US"/>
        </w:rPr>
        <w:t>phosphorylated</w:t>
      </w:r>
      <w:proofErr w:type="spellEnd"/>
      <w:r w:rsidRPr="00756048">
        <w:rPr>
          <w:rFonts w:cs="Times New Roman"/>
          <w:lang w:val="en-US"/>
        </w:rPr>
        <w:t xml:space="preserve"> state</w:t>
      </w:r>
      <w:r>
        <w:rPr>
          <w:rFonts w:cs="Times New Roman"/>
          <w:lang w:val="en-US"/>
        </w:rPr>
        <w:t xml:space="preserve"> </w:t>
      </w:r>
      <w:r w:rsidRPr="00756048">
        <w:rPr>
          <w:rFonts w:cs="Times New Roman"/>
          <w:lang w:val="en-US"/>
        </w:rPr>
        <w:t>(</w:t>
      </w:r>
      <w:r w:rsidRPr="00756048">
        <w:rPr>
          <w:rFonts w:eastAsia="Calibri" w:cs="Calibri"/>
          <w:lang w:val="en-US"/>
        </w:rPr>
        <w:t xml:space="preserve">Table </w:t>
      </w:r>
      <w:r>
        <w:rPr>
          <w:rFonts w:eastAsia="Calibri" w:cs="Calibri"/>
          <w:lang w:val="en-US"/>
        </w:rPr>
        <w:t>S</w:t>
      </w:r>
      <w:r w:rsidRPr="00756048">
        <w:rPr>
          <w:rFonts w:eastAsia="Calibri" w:cs="Calibri"/>
          <w:lang w:val="en-US"/>
        </w:rPr>
        <w:t>1)</w:t>
      </w:r>
      <w:r w:rsidRPr="00756048">
        <w:rPr>
          <w:rFonts w:cs="Times New Roman"/>
          <w:lang w:val="en-US"/>
        </w:rPr>
        <w:t xml:space="preserve">, using </w:t>
      </w:r>
      <w:r w:rsidRPr="00C82D53">
        <w:rPr>
          <w:rFonts w:cs="Times New Roman"/>
          <w:lang w:val="en-US"/>
        </w:rPr>
        <w:t xml:space="preserve"> </w:t>
      </w:r>
      <w:r>
        <w:rPr>
          <w:rFonts w:cs="Times New Roman"/>
          <w:lang w:val="en-US"/>
        </w:rPr>
        <w:t xml:space="preserve">the </w:t>
      </w:r>
      <w:r w:rsidRPr="00756048">
        <w:rPr>
          <w:rFonts w:cs="Times New Roman"/>
          <w:lang w:val="en-US"/>
        </w:rPr>
        <w:t>reverse phase protein array (RPPA)</w:t>
      </w:r>
      <w:r>
        <w:rPr>
          <w:rFonts w:cs="Times New Roman"/>
          <w:lang w:val="en-US"/>
        </w:rPr>
        <w:t xml:space="preserve">  core facility </w:t>
      </w:r>
      <w:r w:rsidRPr="00C82D53">
        <w:rPr>
          <w:rFonts w:cs="Times New Roman"/>
          <w:lang w:val="en-US"/>
        </w:rPr>
        <w:t>at MD Anderson Cancer Center (Houston, TX)</w:t>
      </w:r>
      <w:r w:rsidRPr="00756048">
        <w:rPr>
          <w:rFonts w:cs="Times New Roman"/>
          <w:lang w:val="en-US"/>
        </w:rPr>
        <w:t xml:space="preserve">. </w:t>
      </w:r>
      <w:r w:rsidRPr="00756048">
        <w:rPr>
          <w:rFonts w:eastAsia="Calibri" w:cs="Calibri"/>
          <w:color w:val="000000"/>
          <w:lang w:val="en-US"/>
        </w:rPr>
        <w:t xml:space="preserve">Tumor protein </w:t>
      </w:r>
      <w:proofErr w:type="spellStart"/>
      <w:r w:rsidRPr="00756048">
        <w:rPr>
          <w:rFonts w:eastAsia="Calibri" w:cs="Calibri"/>
          <w:color w:val="000000"/>
          <w:lang w:val="en-US"/>
        </w:rPr>
        <w:t>lysates</w:t>
      </w:r>
      <w:proofErr w:type="spellEnd"/>
      <w:r w:rsidRPr="00756048">
        <w:rPr>
          <w:rFonts w:eastAsia="Calibri" w:cs="Calibri"/>
          <w:color w:val="000000"/>
          <w:lang w:val="en-US"/>
        </w:rPr>
        <w:t xml:space="preserve"> were serially diluted two-fold for 5 dilutions (from undiluted to 1:16 dilution) and arrayed on nitrocellulose-coated slides (in an 11x11 format). Samples were probed with antibodies by </w:t>
      </w:r>
      <w:proofErr w:type="spellStart"/>
      <w:r w:rsidRPr="00756048">
        <w:rPr>
          <w:rFonts w:eastAsia="Calibri" w:cs="Calibri"/>
          <w:color w:val="000000"/>
          <w:lang w:val="en-US"/>
        </w:rPr>
        <w:t>tyramide</w:t>
      </w:r>
      <w:proofErr w:type="spellEnd"/>
      <w:r w:rsidRPr="00756048">
        <w:rPr>
          <w:rFonts w:eastAsia="Calibri" w:cs="Calibri"/>
          <w:color w:val="000000"/>
          <w:lang w:val="en-US"/>
        </w:rPr>
        <w:t xml:space="preserve">-based </w:t>
      </w:r>
      <w:r w:rsidRPr="00756048">
        <w:rPr>
          <w:rFonts w:eastAsia="Calibri" w:cs="Calibri"/>
          <w:color w:val="000000"/>
          <w:lang w:val="en-US"/>
        </w:rPr>
        <w:lastRenderedPageBreak/>
        <w:t>signal amplification approach, visualized by DAB colorimetric reaction. Slides were scanned on a flatbed scanner to produce 16-bit tiff image and the spot density was quantified by Array-Pro Analyzer. Relative protein levels for each sample were determined by interpolation of each dilution curves from the "standard curve" (</w:t>
      </w:r>
      <w:proofErr w:type="spellStart"/>
      <w:r w:rsidRPr="00756048">
        <w:rPr>
          <w:rFonts w:eastAsia="Calibri" w:cs="Calibri"/>
          <w:color w:val="000000"/>
          <w:lang w:val="en-US"/>
        </w:rPr>
        <w:t>SuperCurve</w:t>
      </w:r>
      <w:proofErr w:type="spellEnd"/>
      <w:r w:rsidRPr="00756048">
        <w:rPr>
          <w:rFonts w:eastAsia="Calibri" w:cs="Calibri"/>
          <w:color w:val="000000"/>
          <w:lang w:val="en-US"/>
        </w:rPr>
        <w:t xml:space="preserve"> Rx64 3.1.1) of the slide (antibody). All the data points were normalized for protein loading by using a protein loading correction factor (CF). Each sample has its unique correction factor. If the correction factor is less than 0.25 or greater than 2.5, we consider these samples “outliers,” indicating that protein concentration is much lower or much higher than the othe</w:t>
      </w:r>
      <w:r>
        <w:rPr>
          <w:rFonts w:eastAsia="Calibri" w:cs="Calibri"/>
          <w:color w:val="000000"/>
          <w:lang w:val="en-US"/>
        </w:rPr>
        <w:t>r samples. All the values were l</w:t>
      </w:r>
      <w:r w:rsidRPr="00756048">
        <w:rPr>
          <w:rFonts w:eastAsia="Calibri" w:cs="Calibri"/>
          <w:color w:val="000000"/>
          <w:lang w:val="en-US"/>
        </w:rPr>
        <w:t xml:space="preserve">og2 transformed and </w:t>
      </w:r>
      <w:r w:rsidRPr="00756048">
        <w:rPr>
          <w:rFonts w:eastAsia="Cambria" w:cs="Cambria"/>
          <w:lang w:val="en-US"/>
        </w:rPr>
        <w:t>median centered across each antibody.</w:t>
      </w:r>
      <w:r w:rsidRPr="00756048">
        <w:rPr>
          <w:rFonts w:eastAsia="Calibri" w:cs="Calibri"/>
          <w:color w:val="000000"/>
          <w:lang w:val="en-US"/>
        </w:rPr>
        <w:t xml:space="preserve"> </w:t>
      </w:r>
    </w:p>
    <w:p w:rsidR="009C32D1" w:rsidRDefault="009C32D1">
      <w:pPr>
        <w:rPr>
          <w:lang w:val="en-US"/>
        </w:rPr>
      </w:pPr>
    </w:p>
    <w:p w:rsidR="00A23AD6" w:rsidRDefault="00A23AD6" w:rsidP="00A23AD6">
      <w:pPr>
        <w:pStyle w:val="Heading3"/>
        <w:rPr>
          <w:lang w:val="en-US"/>
        </w:rPr>
      </w:pPr>
      <w:proofErr w:type="spellStart"/>
      <w:r>
        <w:rPr>
          <w:lang w:val="en-US"/>
        </w:rPr>
        <w:t>Immunohistochemistry</w:t>
      </w:r>
      <w:proofErr w:type="spellEnd"/>
      <w:r>
        <w:rPr>
          <w:lang w:val="en-US"/>
        </w:rPr>
        <w:t xml:space="preserve"> (IHC)</w:t>
      </w:r>
    </w:p>
    <w:p w:rsidR="00A23AD6" w:rsidRPr="00A23AD6" w:rsidRDefault="00A23AD6">
      <w:pPr>
        <w:rPr>
          <w:lang w:val="en-US"/>
        </w:rPr>
      </w:pPr>
      <w:proofErr w:type="spellStart"/>
      <w:r w:rsidRPr="00A23AD6">
        <w:rPr>
          <w:color w:val="2E2E2E"/>
          <w:lang w:val="en-US"/>
        </w:rPr>
        <w:t>I</w:t>
      </w:r>
      <w:r w:rsidRPr="00A23AD6">
        <w:rPr>
          <w:lang w:val="en-US"/>
        </w:rPr>
        <w:t>mmunohistochemistry</w:t>
      </w:r>
      <w:proofErr w:type="spellEnd"/>
      <w:r w:rsidRPr="00A23AD6">
        <w:rPr>
          <w:lang w:val="en-US"/>
        </w:rPr>
        <w:t xml:space="preserve"> </w:t>
      </w:r>
      <w:r w:rsidRPr="00A23AD6">
        <w:rPr>
          <w:color w:val="2E2E2E"/>
          <w:lang w:val="en-US"/>
        </w:rPr>
        <w:t>(IHC) was performed to fulfill histological characterizations</w:t>
      </w:r>
      <w:r>
        <w:rPr>
          <w:color w:val="2E2E2E"/>
          <w:lang w:val="en-US"/>
        </w:rPr>
        <w:t xml:space="preserve"> with visual assessment of the tumor morphology and cell structure. </w:t>
      </w:r>
      <w:r w:rsidRPr="00A23AD6">
        <w:rPr>
          <w:lang w:val="en-US"/>
        </w:rPr>
        <w:t xml:space="preserve">The proportion of </w:t>
      </w:r>
      <w:r>
        <w:rPr>
          <w:lang w:val="en-US"/>
        </w:rPr>
        <w:t xml:space="preserve">the </w:t>
      </w:r>
      <w:proofErr w:type="spellStart"/>
      <w:r>
        <w:rPr>
          <w:lang w:val="en-US"/>
        </w:rPr>
        <w:t>neuroendocrine</w:t>
      </w:r>
      <w:proofErr w:type="spellEnd"/>
      <w:r>
        <w:rPr>
          <w:lang w:val="en-US"/>
        </w:rPr>
        <w:t xml:space="preserve"> markers CD56, </w:t>
      </w:r>
      <w:proofErr w:type="spellStart"/>
      <w:r>
        <w:rPr>
          <w:lang w:val="en-US"/>
        </w:rPr>
        <w:t>synaptophysin</w:t>
      </w:r>
      <w:proofErr w:type="spellEnd"/>
      <w:r>
        <w:rPr>
          <w:lang w:val="en-US"/>
        </w:rPr>
        <w:t xml:space="preserve">, </w:t>
      </w:r>
      <w:proofErr w:type="spellStart"/>
      <w:r>
        <w:rPr>
          <w:lang w:val="en-US"/>
        </w:rPr>
        <w:t>chromogranin</w:t>
      </w:r>
      <w:proofErr w:type="spellEnd"/>
      <w:r>
        <w:rPr>
          <w:lang w:val="en-US"/>
        </w:rPr>
        <w:t xml:space="preserve"> A and </w:t>
      </w:r>
      <w:r w:rsidR="009F5E57" w:rsidRPr="009F5E57">
        <w:rPr>
          <w:lang w:val="en-US"/>
        </w:rPr>
        <w:t xml:space="preserve">neuron-specific </w:t>
      </w:r>
      <w:proofErr w:type="spellStart"/>
      <w:r w:rsidR="009F5E57" w:rsidRPr="009F5E57">
        <w:rPr>
          <w:lang w:val="en-US"/>
        </w:rPr>
        <w:t>enolase</w:t>
      </w:r>
      <w:proofErr w:type="spellEnd"/>
      <w:r w:rsidR="009F5E57" w:rsidRPr="009F5E57">
        <w:rPr>
          <w:lang w:val="en-US"/>
        </w:rPr>
        <w:t xml:space="preserve"> </w:t>
      </w:r>
      <w:r w:rsidR="009F5E57">
        <w:rPr>
          <w:lang w:val="en-US"/>
        </w:rPr>
        <w:t>(</w:t>
      </w:r>
      <w:r>
        <w:rPr>
          <w:lang w:val="en-US"/>
        </w:rPr>
        <w:t>NSE</w:t>
      </w:r>
      <w:r w:rsidR="009F5E57">
        <w:rPr>
          <w:lang w:val="en-US"/>
        </w:rPr>
        <w:t>)</w:t>
      </w:r>
      <w:r>
        <w:rPr>
          <w:lang w:val="en-US"/>
        </w:rPr>
        <w:t xml:space="preserve"> within the tumor cells</w:t>
      </w:r>
      <w:r w:rsidRPr="00A23AD6">
        <w:rPr>
          <w:lang w:val="en-US"/>
        </w:rPr>
        <w:t xml:space="preserve"> was evaluated</w:t>
      </w:r>
      <w:r>
        <w:rPr>
          <w:lang w:val="en-US"/>
        </w:rPr>
        <w:t xml:space="preserve">. </w:t>
      </w:r>
      <w:r w:rsidRPr="00A23AD6">
        <w:rPr>
          <w:lang w:val="en-US"/>
        </w:rPr>
        <w:t>The antibodies used for</w:t>
      </w:r>
      <w:r w:rsidR="00627E98">
        <w:rPr>
          <w:lang w:val="en-US"/>
        </w:rPr>
        <w:t xml:space="preserve"> staining</w:t>
      </w:r>
      <w:r w:rsidRPr="00A23AD6">
        <w:rPr>
          <w:lang w:val="en-US"/>
        </w:rPr>
        <w:t xml:space="preserve"> are listed in Supplementary Table </w:t>
      </w:r>
      <w:r>
        <w:rPr>
          <w:lang w:val="en-US"/>
        </w:rPr>
        <w:t>S</w:t>
      </w:r>
      <w:r w:rsidRPr="00A23AD6">
        <w:rPr>
          <w:lang w:val="en-US"/>
        </w:rPr>
        <w:t>2.</w:t>
      </w:r>
      <w:r>
        <w:rPr>
          <w:lang w:val="en-US"/>
        </w:rPr>
        <w:t xml:space="preserve"> The samples were considered as positive or negative</w:t>
      </w:r>
      <w:r w:rsidR="00F4038E">
        <w:rPr>
          <w:lang w:val="en-US"/>
        </w:rPr>
        <w:t>, results are shown in</w:t>
      </w:r>
      <w:r>
        <w:rPr>
          <w:lang w:val="en-US"/>
        </w:rPr>
        <w:t xml:space="preserve"> </w:t>
      </w:r>
      <w:r w:rsidR="00F4038E">
        <w:rPr>
          <w:lang w:val="en-US"/>
        </w:rPr>
        <w:t>Supplementary Table S5</w:t>
      </w:r>
      <w:r>
        <w:rPr>
          <w:lang w:val="en-US"/>
        </w:rPr>
        <w:t>. Slides were reviewed by a pathologist.</w:t>
      </w:r>
    </w:p>
    <w:sectPr w:rsidR="00A23AD6" w:rsidRPr="00A23AD6" w:rsidSect="004229E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DisplayPageBoundaries/>
  <w:proofState w:spelling="clean" w:grammar="clean"/>
  <w:defaultTabStop w:val="708"/>
  <w:hyphenationZone w:val="425"/>
  <w:characterSpacingControl w:val="doNotCompress"/>
  <w:compat/>
  <w:rsids>
    <w:rsidRoot w:val="009C32D1"/>
    <w:rsid w:val="00086997"/>
    <w:rsid w:val="004229EA"/>
    <w:rsid w:val="006017BB"/>
    <w:rsid w:val="00627E98"/>
    <w:rsid w:val="009C32D1"/>
    <w:rsid w:val="009F5E57"/>
    <w:rsid w:val="00A23AD6"/>
    <w:rsid w:val="00AE7B46"/>
    <w:rsid w:val="00C153A4"/>
    <w:rsid w:val="00CD6F1F"/>
    <w:rsid w:val="00EB23F6"/>
    <w:rsid w:val="00F4038E"/>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2D1"/>
    <w:rPr>
      <w:rFonts w:eastAsiaTheme="minorEastAsia"/>
      <w:lang w:eastAsia="zh-CN"/>
    </w:rPr>
  </w:style>
  <w:style w:type="paragraph" w:styleId="Heading1">
    <w:name w:val="heading 1"/>
    <w:basedOn w:val="Normal"/>
    <w:next w:val="Normal"/>
    <w:link w:val="Heading1Char"/>
    <w:uiPriority w:val="9"/>
    <w:qFormat/>
    <w:rsid w:val="009C32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unhideWhenUsed/>
    <w:qFormat/>
    <w:rsid w:val="009C32D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C32D1"/>
    <w:rPr>
      <w:rFonts w:asciiTheme="majorHAnsi" w:eastAsiaTheme="majorEastAsia" w:hAnsiTheme="majorHAnsi" w:cstheme="majorBidi"/>
      <w:b/>
      <w:bCs/>
      <w:color w:val="4F81BD" w:themeColor="accent1"/>
      <w:lang w:eastAsia="zh-CN"/>
    </w:rPr>
  </w:style>
  <w:style w:type="character" w:customStyle="1" w:styleId="Heading1Char">
    <w:name w:val="Heading 1 Char"/>
    <w:basedOn w:val="DefaultParagraphFont"/>
    <w:link w:val="Heading1"/>
    <w:uiPriority w:val="9"/>
    <w:rsid w:val="009C32D1"/>
    <w:rPr>
      <w:rFonts w:asciiTheme="majorHAnsi" w:eastAsiaTheme="majorEastAsia" w:hAnsiTheme="majorHAnsi" w:cstheme="majorBidi"/>
      <w:b/>
      <w:bCs/>
      <w:color w:val="365F91" w:themeColor="accent1" w:themeShade="BF"/>
      <w:sz w:val="28"/>
      <w:szCs w:val="28"/>
      <w:lang w:eastAsia="zh-CN"/>
    </w:rPr>
  </w:style>
  <w:style w:type="character" w:styleId="Hyperlink">
    <w:name w:val="Hyperlink"/>
    <w:basedOn w:val="DefaultParagraphFont"/>
    <w:uiPriority w:val="99"/>
    <w:unhideWhenUsed/>
    <w:rsid w:val="009C32D1"/>
    <w:rPr>
      <w:color w:val="0000FF" w:themeColor="hyperlink"/>
      <w:u w:val="single"/>
    </w:rPr>
  </w:style>
  <w:style w:type="character" w:styleId="Emphasis">
    <w:name w:val="Emphasis"/>
    <w:basedOn w:val="DefaultParagraphFont"/>
    <w:uiPriority w:val="20"/>
    <w:qFormat/>
    <w:rsid w:val="009C32D1"/>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ncbi.nlm.nih.gov/pmc/articles/PMC4863128/" TargetMode="External"/><Relationship Id="rId4" Type="http://schemas.openxmlformats.org/officeDocument/2006/relationships/hyperlink" Target="https://www.ncbi.nlm.nih.gov/nuccore/NM_00054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723</Words>
  <Characters>3835</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Oslo University Hospital</Company>
  <LinksUpToDate>false</LinksUpToDate>
  <CharactersWithSpaces>4549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Rita</cp:lastModifiedBy>
  <cp:revision>6</cp:revision>
  <dcterms:created xsi:type="dcterms:W3CDTF">2018-11-14T12:48:00Z</dcterms:created>
  <dcterms:modified xsi:type="dcterms:W3CDTF">2019-01-31T14:40:00Z</dcterms:modified>
</cp:coreProperties>
</file>